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5" w:rsidRDefault="008660C5" w:rsidP="008660C5">
      <w:pPr>
        <w:pStyle w:val="Default"/>
      </w:pPr>
    </w:p>
    <w:p w:rsidR="008660C5" w:rsidRDefault="008660C5" w:rsidP="0076624A">
      <w:pPr>
        <w:pStyle w:val="Default"/>
        <w:jc w:val="center"/>
        <w:rPr>
          <w:color w:val="FF0000"/>
          <w:sz w:val="40"/>
          <w:szCs w:val="40"/>
        </w:rPr>
      </w:pPr>
      <w:proofErr w:type="spellStart"/>
      <w:r>
        <w:rPr>
          <w:b/>
          <w:bCs/>
          <w:color w:val="FF0000"/>
          <w:sz w:val="40"/>
          <w:szCs w:val="40"/>
        </w:rPr>
        <w:t>Poornaprajna</w:t>
      </w:r>
      <w:proofErr w:type="spellEnd"/>
      <w:r>
        <w:rPr>
          <w:b/>
          <w:bCs/>
          <w:color w:val="FF0000"/>
          <w:sz w:val="40"/>
          <w:szCs w:val="40"/>
        </w:rPr>
        <w:t xml:space="preserve"> Institute of Management</w:t>
      </w:r>
    </w:p>
    <w:p w:rsidR="008660C5" w:rsidRDefault="008660C5" w:rsidP="007662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Udupi ‐ India</w:t>
      </w:r>
    </w:p>
    <w:p w:rsidR="008660C5" w:rsidRDefault="008660C5" w:rsidP="0076624A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Micro Research Centre (MRC)</w:t>
      </w:r>
    </w:p>
    <w:p w:rsidR="008660C5" w:rsidRDefault="008660C5" w:rsidP="0076624A">
      <w:pPr>
        <w:pStyle w:val="Default"/>
        <w:jc w:val="center"/>
        <w:rPr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Name of MRC:</w:t>
      </w:r>
    </w:p>
    <w:p w:rsidR="008660C5" w:rsidRDefault="008660C5" w:rsidP="0076624A">
      <w:pPr>
        <w:pStyle w:val="Default"/>
        <w:jc w:val="center"/>
        <w:rPr>
          <w:sz w:val="23"/>
          <w:szCs w:val="23"/>
        </w:rPr>
      </w:pPr>
      <w:r>
        <w:rPr>
          <w:b/>
          <w:bCs/>
          <w:color w:val="6F2F9F"/>
          <w:sz w:val="23"/>
          <w:szCs w:val="23"/>
        </w:rPr>
        <w:t xml:space="preserve">Centre for Case Studies on Innovations and Best Practices in </w:t>
      </w:r>
      <w:r w:rsidR="0076624A">
        <w:rPr>
          <w:b/>
          <w:bCs/>
          <w:color w:val="6F2F9F"/>
          <w:sz w:val="23"/>
          <w:szCs w:val="23"/>
        </w:rPr>
        <w:t>Behavioural Finance</w:t>
      </w:r>
      <w:r>
        <w:rPr>
          <w:b/>
          <w:bCs/>
          <w:color w:val="6F2F9F"/>
          <w:sz w:val="23"/>
          <w:szCs w:val="23"/>
        </w:rPr>
        <w:t xml:space="preserve"> &amp; </w:t>
      </w:r>
      <w:r w:rsidR="00FA000D">
        <w:rPr>
          <w:b/>
          <w:bCs/>
          <w:color w:val="6F2F9F"/>
          <w:sz w:val="23"/>
          <w:szCs w:val="23"/>
        </w:rPr>
        <w:t xml:space="preserve">Financial Markets </w:t>
      </w:r>
      <w:r>
        <w:rPr>
          <w:b/>
          <w:bCs/>
          <w:color w:val="6F2F9F"/>
          <w:sz w:val="23"/>
          <w:szCs w:val="23"/>
        </w:rPr>
        <w:t>Research</w:t>
      </w:r>
    </w:p>
    <w:p w:rsidR="00FA000D" w:rsidRDefault="00FA000D" w:rsidP="00FA000D">
      <w:pPr>
        <w:pStyle w:val="Default"/>
        <w:jc w:val="center"/>
        <w:rPr>
          <w:b/>
          <w:bCs/>
          <w:color w:val="006FC0"/>
          <w:sz w:val="23"/>
          <w:szCs w:val="23"/>
        </w:rPr>
      </w:pPr>
      <w:r>
        <w:rPr>
          <w:b/>
          <w:bCs/>
          <w:noProof/>
          <w:color w:val="006FC0"/>
          <w:sz w:val="23"/>
          <w:szCs w:val="23"/>
          <w:lang w:eastAsia="en-IN"/>
        </w:rPr>
        <w:drawing>
          <wp:inline distT="0" distB="0" distL="0" distR="0">
            <wp:extent cx="1348317" cy="1733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307-WA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06" cy="17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C5" w:rsidRDefault="008660C5" w:rsidP="00FA000D">
      <w:pPr>
        <w:pStyle w:val="Default"/>
        <w:jc w:val="center"/>
        <w:rPr>
          <w:color w:val="006FC0"/>
          <w:sz w:val="23"/>
          <w:szCs w:val="23"/>
        </w:rPr>
      </w:pPr>
      <w:r>
        <w:rPr>
          <w:b/>
          <w:bCs/>
          <w:color w:val="006FC0"/>
          <w:sz w:val="23"/>
          <w:szCs w:val="23"/>
        </w:rPr>
        <w:t>Name &amp; Designation of the Coordinator:</w:t>
      </w:r>
    </w:p>
    <w:p w:rsidR="00FA000D" w:rsidRDefault="00FA000D" w:rsidP="00FA000D">
      <w:pPr>
        <w:pStyle w:val="Default"/>
        <w:jc w:val="center"/>
        <w:rPr>
          <w:b/>
          <w:bCs/>
          <w:color w:val="006FC0"/>
          <w:sz w:val="23"/>
          <w:szCs w:val="23"/>
        </w:rPr>
      </w:pPr>
      <w:r>
        <w:rPr>
          <w:b/>
          <w:bCs/>
          <w:color w:val="006FC0"/>
          <w:sz w:val="23"/>
          <w:szCs w:val="23"/>
        </w:rPr>
        <w:t xml:space="preserve">Diana </w:t>
      </w:r>
      <w:proofErr w:type="spellStart"/>
      <w:r>
        <w:rPr>
          <w:b/>
          <w:bCs/>
          <w:color w:val="006FC0"/>
          <w:sz w:val="23"/>
          <w:szCs w:val="23"/>
        </w:rPr>
        <w:t>Saldanha</w:t>
      </w:r>
      <w:proofErr w:type="spellEnd"/>
      <w:r w:rsidR="008660C5">
        <w:rPr>
          <w:b/>
          <w:bCs/>
          <w:color w:val="006FC0"/>
          <w:sz w:val="23"/>
          <w:szCs w:val="23"/>
        </w:rPr>
        <w:t>,</w:t>
      </w:r>
    </w:p>
    <w:p w:rsidR="008660C5" w:rsidRDefault="00FA000D" w:rsidP="00FA000D">
      <w:pPr>
        <w:pStyle w:val="Default"/>
        <w:jc w:val="center"/>
        <w:rPr>
          <w:color w:val="006FC0"/>
          <w:sz w:val="23"/>
          <w:szCs w:val="23"/>
        </w:rPr>
      </w:pPr>
      <w:r>
        <w:rPr>
          <w:b/>
          <w:bCs/>
          <w:color w:val="006FC0"/>
          <w:sz w:val="23"/>
          <w:szCs w:val="23"/>
        </w:rPr>
        <w:t xml:space="preserve">Assistant </w:t>
      </w:r>
      <w:r w:rsidR="008660C5">
        <w:rPr>
          <w:b/>
          <w:bCs/>
          <w:color w:val="006FC0"/>
          <w:sz w:val="23"/>
          <w:szCs w:val="23"/>
        </w:rPr>
        <w:t>Professor</w:t>
      </w:r>
    </w:p>
    <w:p w:rsidR="00DD3736" w:rsidRDefault="008660C5" w:rsidP="00FA000D">
      <w:pPr>
        <w:pStyle w:val="Default"/>
        <w:jc w:val="center"/>
        <w:rPr>
          <w:b/>
          <w:bCs/>
          <w:color w:val="006FC0"/>
          <w:sz w:val="23"/>
          <w:szCs w:val="23"/>
        </w:rPr>
      </w:pPr>
      <w:proofErr w:type="spellStart"/>
      <w:r>
        <w:rPr>
          <w:b/>
          <w:bCs/>
          <w:color w:val="006FC0"/>
          <w:sz w:val="23"/>
          <w:szCs w:val="23"/>
        </w:rPr>
        <w:t>Poornaprajna</w:t>
      </w:r>
      <w:proofErr w:type="spellEnd"/>
      <w:r>
        <w:rPr>
          <w:b/>
          <w:bCs/>
          <w:color w:val="006FC0"/>
          <w:sz w:val="23"/>
          <w:szCs w:val="23"/>
        </w:rPr>
        <w:t xml:space="preserve"> Institute of Management</w:t>
      </w:r>
    </w:p>
    <w:p w:rsidR="00FA000D" w:rsidRDefault="00FA000D" w:rsidP="00FA000D">
      <w:pPr>
        <w:pStyle w:val="Default"/>
        <w:jc w:val="center"/>
        <w:rPr>
          <w:b/>
          <w:bCs/>
          <w:color w:val="006FC0"/>
          <w:sz w:val="23"/>
          <w:szCs w:val="23"/>
        </w:rPr>
      </w:pPr>
    </w:p>
    <w:p w:rsidR="00FA000D" w:rsidRDefault="00FA000D" w:rsidP="00FA000D">
      <w:pPr>
        <w:pStyle w:val="Default"/>
      </w:pPr>
    </w:p>
    <w:p w:rsidR="00FA000D" w:rsidRDefault="00FA000D" w:rsidP="00FA000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 xml:space="preserve">) Purpose: </w:t>
      </w:r>
    </w:p>
    <w:p w:rsidR="00FA000D" w:rsidRDefault="00FA000D" w:rsidP="00FA0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purpose of the Centre for Case Studies on Innovations and Best Practices </w:t>
      </w:r>
      <w:r>
        <w:rPr>
          <w:sz w:val="23"/>
          <w:szCs w:val="23"/>
        </w:rPr>
        <w:t>the field of Behavioural Finance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Financial Markets </w:t>
      </w:r>
      <w:r>
        <w:rPr>
          <w:sz w:val="23"/>
          <w:szCs w:val="23"/>
        </w:rPr>
        <w:t>is to systematically investigate, document, and disseminate innovative pr</w:t>
      </w:r>
      <w:r>
        <w:rPr>
          <w:sz w:val="23"/>
          <w:szCs w:val="23"/>
        </w:rPr>
        <w:t>actices and exemplary models in</w:t>
      </w:r>
      <w:r>
        <w:rPr>
          <w:sz w:val="23"/>
          <w:szCs w:val="23"/>
        </w:rPr>
        <w:t xml:space="preserve"> Behavioural Finance and Financial Markets </w:t>
      </w:r>
      <w:r>
        <w:rPr>
          <w:sz w:val="23"/>
          <w:szCs w:val="23"/>
        </w:rPr>
        <w:t>R</w:t>
      </w:r>
      <w:r>
        <w:rPr>
          <w:sz w:val="23"/>
          <w:szCs w:val="23"/>
        </w:rPr>
        <w:t>esearch</w:t>
      </w:r>
      <w:r>
        <w:rPr>
          <w:sz w:val="23"/>
          <w:szCs w:val="23"/>
        </w:rPr>
        <w:t xml:space="preserve"> so as</w:t>
      </w:r>
      <w:r>
        <w:rPr>
          <w:sz w:val="23"/>
          <w:szCs w:val="23"/>
        </w:rPr>
        <w:t xml:space="preserve"> to enhance the </w:t>
      </w:r>
      <w:r>
        <w:rPr>
          <w:sz w:val="23"/>
          <w:szCs w:val="23"/>
        </w:rPr>
        <w:t xml:space="preserve">academic literature and </w:t>
      </w:r>
      <w:r w:rsidR="00091394">
        <w:rPr>
          <w:sz w:val="23"/>
          <w:szCs w:val="23"/>
        </w:rPr>
        <w:t>its implications</w:t>
      </w:r>
      <w:r>
        <w:rPr>
          <w:sz w:val="23"/>
          <w:szCs w:val="23"/>
        </w:rPr>
        <w:t>.</w:t>
      </w:r>
    </w:p>
    <w:p w:rsidR="002E7FE4" w:rsidRDefault="002E7FE4" w:rsidP="00FA000D">
      <w:pPr>
        <w:pStyle w:val="Default"/>
        <w:rPr>
          <w:sz w:val="23"/>
          <w:szCs w:val="23"/>
        </w:rPr>
      </w:pPr>
    </w:p>
    <w:p w:rsidR="002E7FE4" w:rsidRDefault="002E7FE4" w:rsidP="002E7FE4">
      <w:pPr>
        <w:pStyle w:val="Default"/>
      </w:pPr>
    </w:p>
    <w:p w:rsidR="002E7FE4" w:rsidRDefault="002E7FE4" w:rsidP="002E7FE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(ii) Objectives: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To identify and </w:t>
      </w:r>
      <w:proofErr w:type="spellStart"/>
      <w:r>
        <w:rPr>
          <w:sz w:val="23"/>
          <w:szCs w:val="23"/>
        </w:rPr>
        <w:t>analyze</w:t>
      </w:r>
      <w:proofErr w:type="spellEnd"/>
      <w:r>
        <w:rPr>
          <w:sz w:val="23"/>
          <w:szCs w:val="23"/>
        </w:rPr>
        <w:t xml:space="preserve"> innovative practices and successful models in Behavioural Finance and Financial Markets.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(2) To develop a comprehensive repository of case studies that highlight best practices and successful strategies in Behavioural Finance and Financial Markets</w:t>
      </w:r>
      <w:r>
        <w:rPr>
          <w:sz w:val="23"/>
          <w:szCs w:val="23"/>
        </w:rPr>
        <w:t xml:space="preserve"> Studies</w:t>
      </w:r>
      <w:r>
        <w:rPr>
          <w:sz w:val="23"/>
          <w:szCs w:val="23"/>
        </w:rPr>
        <w:t xml:space="preserve">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To facilitate knowledge exchange and collaboration among academic institutions, </w:t>
      </w:r>
      <w:r>
        <w:rPr>
          <w:sz w:val="23"/>
          <w:szCs w:val="23"/>
        </w:rPr>
        <w:t>market makers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portfolio managers,</w:t>
      </w:r>
      <w:r>
        <w:rPr>
          <w:sz w:val="23"/>
          <w:szCs w:val="23"/>
        </w:rPr>
        <w:t xml:space="preserve"> policymakers, and researchers.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To provide evidence-based recommendations for improving Behavioural Finance and Financial Markets </w:t>
      </w:r>
      <w:r>
        <w:rPr>
          <w:sz w:val="23"/>
          <w:szCs w:val="23"/>
        </w:rPr>
        <w:t>Research</w:t>
      </w:r>
      <w:r>
        <w:rPr>
          <w:sz w:val="23"/>
          <w:szCs w:val="23"/>
        </w:rPr>
        <w:t xml:space="preserve"> methodologies.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(5) To promote the adoption of innovative practices and continuous improvement within higher education institutions</w:t>
      </w:r>
    </w:p>
    <w:p w:rsidR="002E7FE4" w:rsidRDefault="002E7FE4" w:rsidP="002E7FE4">
      <w:pPr>
        <w:pStyle w:val="Default"/>
        <w:rPr>
          <w:sz w:val="23"/>
          <w:szCs w:val="23"/>
        </w:rPr>
      </w:pPr>
    </w:p>
    <w:p w:rsidR="002E7FE4" w:rsidRDefault="002E7FE4" w:rsidP="002E7FE4">
      <w:pPr>
        <w:pStyle w:val="Default"/>
      </w:pPr>
    </w:p>
    <w:p w:rsidR="002E7FE4" w:rsidRDefault="002E7FE4" w:rsidP="002E7FE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(iii) Description: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research methodology for the Centre will be a mix of qualitative and quantitative approaches: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Case Study Methodology: In-depth case studies will be conducted to explore innovations and best practices within selected </w:t>
      </w:r>
      <w:r>
        <w:rPr>
          <w:sz w:val="23"/>
          <w:szCs w:val="23"/>
        </w:rPr>
        <w:t>financial markets and institutions</w:t>
      </w:r>
      <w:r>
        <w:rPr>
          <w:sz w:val="23"/>
          <w:szCs w:val="23"/>
        </w:rPr>
        <w:t xml:space="preserve">. This will involve interviews, surveys, and analysis of </w:t>
      </w:r>
      <w:r>
        <w:rPr>
          <w:sz w:val="23"/>
          <w:szCs w:val="23"/>
        </w:rPr>
        <w:t>financial</w:t>
      </w:r>
      <w:r>
        <w:rPr>
          <w:sz w:val="23"/>
          <w:szCs w:val="23"/>
        </w:rPr>
        <w:t xml:space="preserve"> documents.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Comparative Analysis: Comparative studies will be performed to evaluate the effectiveness of different innovative practices across various </w:t>
      </w:r>
      <w:r>
        <w:rPr>
          <w:sz w:val="23"/>
          <w:szCs w:val="23"/>
        </w:rPr>
        <w:t xml:space="preserve">behavioural </w:t>
      </w:r>
      <w:r>
        <w:rPr>
          <w:sz w:val="23"/>
          <w:szCs w:val="23"/>
        </w:rPr>
        <w:t xml:space="preserve">contexts and </w:t>
      </w:r>
      <w:r>
        <w:rPr>
          <w:sz w:val="23"/>
          <w:szCs w:val="23"/>
        </w:rPr>
        <w:t>investment avenues</w:t>
      </w:r>
      <w:r>
        <w:rPr>
          <w:sz w:val="23"/>
          <w:szCs w:val="23"/>
        </w:rPr>
        <w:t>.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(3) Surveys and Questionnaires: Surveys will be distributed to gather quantitative data from a broad range of </w:t>
      </w:r>
      <w:r>
        <w:rPr>
          <w:sz w:val="23"/>
          <w:szCs w:val="23"/>
        </w:rPr>
        <w:t>investors</w:t>
      </w:r>
      <w:r>
        <w:rPr>
          <w:sz w:val="23"/>
          <w:szCs w:val="23"/>
        </w:rPr>
        <w:t xml:space="preserve"> to identify trends and common factors in successful </w:t>
      </w:r>
      <w:r>
        <w:rPr>
          <w:sz w:val="23"/>
          <w:szCs w:val="23"/>
        </w:rPr>
        <w:t>investment strategies.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(4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Big Data Analysis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Using data analysis software like R and Python current trends and patterns in </w:t>
      </w:r>
      <w:r>
        <w:rPr>
          <w:sz w:val="23"/>
          <w:szCs w:val="23"/>
        </w:rPr>
        <w:t xml:space="preserve">Behavioural Finance and Financial Markets </w:t>
      </w:r>
      <w:r>
        <w:rPr>
          <w:sz w:val="23"/>
          <w:szCs w:val="23"/>
        </w:rPr>
        <w:t>shall be analysed using latest methodological frameworks</w:t>
      </w:r>
      <w:r>
        <w:rPr>
          <w:sz w:val="23"/>
          <w:szCs w:val="23"/>
        </w:rPr>
        <w:t>.</w:t>
      </w:r>
    </w:p>
    <w:p w:rsidR="002E7FE4" w:rsidRDefault="002E7FE4" w:rsidP="002E7FE4">
      <w:pPr>
        <w:pStyle w:val="Default"/>
        <w:rPr>
          <w:b/>
          <w:bCs/>
          <w:color w:val="006FC0"/>
          <w:sz w:val="23"/>
          <w:szCs w:val="23"/>
        </w:rPr>
      </w:pP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(iv) Proposed Functions: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Conducting comprehensive research on innovative practices and </w:t>
      </w:r>
      <w:r w:rsidR="00723780">
        <w:rPr>
          <w:sz w:val="23"/>
          <w:szCs w:val="23"/>
        </w:rPr>
        <w:t xml:space="preserve">portfolio management strategies </w:t>
      </w:r>
      <w:r>
        <w:rPr>
          <w:sz w:val="23"/>
          <w:szCs w:val="23"/>
        </w:rPr>
        <w:t xml:space="preserve">in </w:t>
      </w:r>
      <w:r w:rsidR="00723780">
        <w:rPr>
          <w:sz w:val="23"/>
          <w:szCs w:val="23"/>
        </w:rPr>
        <w:t>Behavioural Finance and Financial Markets</w:t>
      </w:r>
      <w:r>
        <w:rPr>
          <w:sz w:val="23"/>
          <w:szCs w:val="23"/>
        </w:rPr>
        <w:t xml:space="preserve">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Creating and maintaining a database of case studies that can be accessed by academic institutions, researchers, and policymakers.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Organizing conferences, seminars, and workshops to disseminate findings and facilitate dialogue on innovations in </w:t>
      </w:r>
      <w:r w:rsidR="00723780">
        <w:rPr>
          <w:sz w:val="23"/>
          <w:szCs w:val="23"/>
        </w:rPr>
        <w:t>Behavioural Finance and Financial Markets</w:t>
      </w:r>
      <w:r>
        <w:rPr>
          <w:sz w:val="23"/>
          <w:szCs w:val="23"/>
        </w:rPr>
        <w:t xml:space="preserve">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Publishing research reports, articles, and books that highlight key findings and recommendations. </w:t>
      </w:r>
    </w:p>
    <w:p w:rsidR="002E7FE4" w:rsidRDefault="002E7FE4" w:rsidP="002E7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Providing consultancy and advisory services to educational </w:t>
      </w:r>
      <w:r w:rsidR="00723780">
        <w:rPr>
          <w:sz w:val="23"/>
          <w:szCs w:val="23"/>
        </w:rPr>
        <w:t xml:space="preserve">and financial </w:t>
      </w:r>
      <w:r>
        <w:rPr>
          <w:sz w:val="23"/>
          <w:szCs w:val="23"/>
        </w:rPr>
        <w:t>institutions looking to implement best practices and innovative strategies.</w:t>
      </w:r>
    </w:p>
    <w:p w:rsidR="00C876CF" w:rsidRDefault="00C876CF" w:rsidP="002E7FE4">
      <w:pPr>
        <w:pStyle w:val="Default"/>
        <w:rPr>
          <w:sz w:val="23"/>
          <w:szCs w:val="23"/>
        </w:rPr>
      </w:pP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(v) Expected Outcomes: </w:t>
      </w: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comprehensive collection of case studies that provide valuable insights into successful innovations and</w:t>
      </w:r>
      <w:r>
        <w:rPr>
          <w:sz w:val="23"/>
          <w:szCs w:val="23"/>
        </w:rPr>
        <w:t xml:space="preserve"> investment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strategies</w:t>
      </w:r>
      <w:r>
        <w:rPr>
          <w:sz w:val="23"/>
          <w:szCs w:val="23"/>
        </w:rPr>
        <w:t xml:space="preserve"> in Behavioural Finance and Financial Markets. </w:t>
      </w: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Enhanced understanding and awareness among academic institutions </w:t>
      </w:r>
      <w:r>
        <w:rPr>
          <w:sz w:val="23"/>
          <w:szCs w:val="23"/>
        </w:rPr>
        <w:t xml:space="preserve">and portfolio managers </w:t>
      </w:r>
      <w:r>
        <w:rPr>
          <w:sz w:val="23"/>
          <w:szCs w:val="23"/>
        </w:rPr>
        <w:t xml:space="preserve">of effective strategies for improving </w:t>
      </w:r>
      <w:r>
        <w:rPr>
          <w:sz w:val="23"/>
          <w:szCs w:val="23"/>
        </w:rPr>
        <w:t>investment</w:t>
      </w:r>
      <w:r>
        <w:rPr>
          <w:sz w:val="23"/>
          <w:szCs w:val="23"/>
        </w:rPr>
        <w:t xml:space="preserve"> quality and outcomes. </w:t>
      </w: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Increased collaboration and knowledge exchange among </w:t>
      </w:r>
      <w:r>
        <w:rPr>
          <w:sz w:val="23"/>
          <w:szCs w:val="23"/>
        </w:rPr>
        <w:t xml:space="preserve">investment managers, </w:t>
      </w:r>
      <w:r>
        <w:rPr>
          <w:sz w:val="23"/>
          <w:szCs w:val="23"/>
        </w:rPr>
        <w:t xml:space="preserve">educators, researchers, and policymakers, leading to the widespread adoption of best practices. </w:t>
      </w: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Evidence-based policy recommendations that can inform the development </w:t>
      </w:r>
      <w:r>
        <w:rPr>
          <w:sz w:val="23"/>
          <w:szCs w:val="23"/>
        </w:rPr>
        <w:t>financial</w:t>
      </w:r>
      <w:r>
        <w:rPr>
          <w:sz w:val="23"/>
          <w:szCs w:val="23"/>
        </w:rPr>
        <w:t xml:space="preserve"> policies at institutional, national, and international levels. </w:t>
      </w:r>
    </w:p>
    <w:p w:rsidR="00C876CF" w:rsidRDefault="00C876CF" w:rsidP="00C876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Improved quality of </w:t>
      </w:r>
      <w:r w:rsidR="00D921AA">
        <w:rPr>
          <w:sz w:val="23"/>
          <w:szCs w:val="23"/>
        </w:rPr>
        <w:t>investment</w:t>
      </w:r>
      <w:r>
        <w:rPr>
          <w:sz w:val="23"/>
          <w:szCs w:val="23"/>
        </w:rPr>
        <w:t xml:space="preserve"> and re</w:t>
      </w:r>
      <w:r w:rsidR="00D921AA">
        <w:rPr>
          <w:sz w:val="23"/>
          <w:szCs w:val="23"/>
        </w:rPr>
        <w:t>turns</w:t>
      </w:r>
      <w:r>
        <w:rPr>
          <w:sz w:val="23"/>
          <w:szCs w:val="23"/>
        </w:rPr>
        <w:t xml:space="preserve"> through the implementation of innovative practices, ultimately leading to better </w:t>
      </w:r>
      <w:r w:rsidR="00D921AA">
        <w:rPr>
          <w:sz w:val="23"/>
          <w:szCs w:val="23"/>
        </w:rPr>
        <w:t>investment policies</w:t>
      </w:r>
      <w:r>
        <w:rPr>
          <w:sz w:val="23"/>
          <w:szCs w:val="23"/>
        </w:rPr>
        <w:t>.</w:t>
      </w:r>
    </w:p>
    <w:p w:rsidR="00C33E7C" w:rsidRDefault="00C33E7C" w:rsidP="00C876CF">
      <w:pPr>
        <w:pStyle w:val="Default"/>
        <w:rPr>
          <w:sz w:val="23"/>
          <w:szCs w:val="23"/>
        </w:rPr>
      </w:pPr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(vi) List of the Team </w:t>
      </w:r>
      <w:r>
        <w:rPr>
          <w:b/>
          <w:bCs/>
          <w:sz w:val="23"/>
          <w:szCs w:val="23"/>
        </w:rPr>
        <w:t>Members:</w:t>
      </w:r>
      <w:r>
        <w:rPr>
          <w:b/>
          <w:bCs/>
          <w:sz w:val="23"/>
          <w:szCs w:val="23"/>
        </w:rPr>
        <w:t xml:space="preserve"> </w:t>
      </w:r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Diana </w:t>
      </w:r>
      <w:proofErr w:type="spellStart"/>
      <w:r>
        <w:rPr>
          <w:sz w:val="23"/>
          <w:szCs w:val="23"/>
        </w:rPr>
        <w:t>Saldanha</w:t>
      </w:r>
      <w:proofErr w:type="spellEnd"/>
    </w:p>
    <w:p w:rsidR="00C33E7C" w:rsidRDefault="00C33E7C" w:rsidP="00C33E7C">
      <w:pPr>
        <w:pStyle w:val="Default"/>
        <w:rPr>
          <w:sz w:val="23"/>
          <w:szCs w:val="23"/>
        </w:rPr>
      </w:pPr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(vii) List of Working </w:t>
      </w:r>
      <w:proofErr w:type="gramStart"/>
      <w:r>
        <w:rPr>
          <w:b/>
          <w:bCs/>
          <w:sz w:val="23"/>
          <w:szCs w:val="23"/>
        </w:rPr>
        <w:t>Papers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 w:rsidRPr="00C33E7C">
        <w:rPr>
          <w:sz w:val="23"/>
          <w:szCs w:val="23"/>
        </w:rPr>
        <w:t>Do Stock Markets Exhibit Cyclical Market Efficiency?  An Emerging Market Perspective</w:t>
      </w:r>
    </w:p>
    <w:p w:rsidR="00C33E7C" w:rsidRDefault="00C33E7C" w:rsidP="00C33E7C">
      <w:pPr>
        <w:pStyle w:val="Default"/>
        <w:rPr>
          <w:b/>
          <w:bCs/>
          <w:color w:val="006FC0"/>
          <w:sz w:val="23"/>
          <w:szCs w:val="23"/>
        </w:rPr>
      </w:pPr>
    </w:p>
    <w:p w:rsidR="00C33E7C" w:rsidRDefault="00C33E7C" w:rsidP="00C33E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(viii) List of related Published Papers:</w:t>
      </w:r>
    </w:p>
    <w:p w:rsidR="00C33E7C" w:rsidRDefault="00C33E7C" w:rsidP="00C33E7C">
      <w:pPr>
        <w:pStyle w:val="Default"/>
        <w:rPr>
          <w:b/>
          <w:bCs/>
          <w:sz w:val="23"/>
          <w:szCs w:val="23"/>
        </w:rPr>
      </w:pPr>
    </w:p>
    <w:p w:rsidR="00C33E7C" w:rsidRPr="00C33E7C" w:rsidRDefault="00C33E7C" w:rsidP="00C33E7C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C33E7C">
        <w:rPr>
          <w:sz w:val="23"/>
          <w:szCs w:val="23"/>
        </w:rPr>
        <w:t>Mallikarjunappa</w:t>
      </w:r>
      <w:proofErr w:type="spellEnd"/>
      <w:r w:rsidRPr="00C33E7C">
        <w:rPr>
          <w:sz w:val="23"/>
          <w:szCs w:val="23"/>
        </w:rPr>
        <w:t xml:space="preserve">, T., </w:t>
      </w:r>
      <w:proofErr w:type="spellStart"/>
      <w:r w:rsidRPr="00C33E7C">
        <w:rPr>
          <w:sz w:val="23"/>
          <w:szCs w:val="23"/>
        </w:rPr>
        <w:t>Saldanha</w:t>
      </w:r>
      <w:proofErr w:type="spellEnd"/>
      <w:r w:rsidRPr="00C33E7C">
        <w:rPr>
          <w:sz w:val="23"/>
          <w:szCs w:val="23"/>
        </w:rPr>
        <w:t xml:space="preserve">, D., &amp; </w:t>
      </w:r>
      <w:proofErr w:type="spellStart"/>
      <w:r w:rsidRPr="00C33E7C">
        <w:rPr>
          <w:sz w:val="23"/>
          <w:szCs w:val="23"/>
        </w:rPr>
        <w:t>Hawaldar</w:t>
      </w:r>
      <w:proofErr w:type="spellEnd"/>
      <w:r w:rsidRPr="00C33E7C">
        <w:rPr>
          <w:sz w:val="23"/>
          <w:szCs w:val="23"/>
        </w:rPr>
        <w:t>, I. T. (2023). The Dynamics of the Relationship between Stock Returns and Trading Volumes: An Emerging Markets Perspective during Varying Market Conditions. Journal of Open Innovation: Technology, Market, and Complexity, 100202.</w:t>
      </w:r>
    </w:p>
    <w:p w:rsidR="00C33E7C" w:rsidRPr="00C33E7C" w:rsidRDefault="00C33E7C" w:rsidP="00C33E7C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C33E7C">
        <w:rPr>
          <w:sz w:val="23"/>
          <w:szCs w:val="23"/>
        </w:rPr>
        <w:t>Saldanha</w:t>
      </w:r>
      <w:proofErr w:type="spellEnd"/>
      <w:r w:rsidRPr="00C33E7C">
        <w:rPr>
          <w:sz w:val="23"/>
          <w:szCs w:val="23"/>
        </w:rPr>
        <w:t xml:space="preserve">, D., </w:t>
      </w:r>
      <w:proofErr w:type="spellStart"/>
      <w:r w:rsidRPr="00C33E7C">
        <w:rPr>
          <w:sz w:val="23"/>
          <w:szCs w:val="23"/>
        </w:rPr>
        <w:t>Mallikarjunappa</w:t>
      </w:r>
      <w:proofErr w:type="spellEnd"/>
      <w:r w:rsidRPr="00C33E7C">
        <w:rPr>
          <w:sz w:val="23"/>
          <w:szCs w:val="23"/>
        </w:rPr>
        <w:t xml:space="preserve">, T., &amp; </w:t>
      </w:r>
      <w:proofErr w:type="spellStart"/>
      <w:r w:rsidRPr="00C33E7C">
        <w:rPr>
          <w:sz w:val="23"/>
          <w:szCs w:val="23"/>
        </w:rPr>
        <w:t>Oware</w:t>
      </w:r>
      <w:proofErr w:type="spellEnd"/>
      <w:r w:rsidRPr="00C33E7C">
        <w:rPr>
          <w:sz w:val="23"/>
          <w:szCs w:val="23"/>
        </w:rPr>
        <w:t>, K. M. (2023). Determinants of Adaptive Behaviour in Stock Market: A Review. Vision, 09722629221148809.</w:t>
      </w:r>
    </w:p>
    <w:p w:rsidR="00C33E7C" w:rsidRPr="00C33E7C" w:rsidRDefault="00C33E7C" w:rsidP="00C33E7C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C33E7C">
        <w:rPr>
          <w:sz w:val="23"/>
          <w:szCs w:val="23"/>
        </w:rPr>
        <w:t>Saldanha</w:t>
      </w:r>
      <w:proofErr w:type="spellEnd"/>
      <w:r w:rsidRPr="00C33E7C">
        <w:rPr>
          <w:sz w:val="23"/>
          <w:szCs w:val="23"/>
        </w:rPr>
        <w:t xml:space="preserve">, D., &amp; </w:t>
      </w:r>
      <w:proofErr w:type="spellStart"/>
      <w:r w:rsidRPr="00C33E7C">
        <w:rPr>
          <w:sz w:val="23"/>
          <w:szCs w:val="23"/>
        </w:rPr>
        <w:t>Mallikarjunappa</w:t>
      </w:r>
      <w:proofErr w:type="spellEnd"/>
      <w:r w:rsidRPr="00C33E7C">
        <w:rPr>
          <w:sz w:val="23"/>
          <w:szCs w:val="23"/>
        </w:rPr>
        <w:t>, T. (2021). Impact of US Commodity Futures on Returns of Nifty 50. In Structural Reforms in Indian Economy: Prospects and Challenges (pp. 128–135).</w:t>
      </w:r>
    </w:p>
    <w:p w:rsidR="00C33E7C" w:rsidRDefault="00C33E7C" w:rsidP="00C33E7C">
      <w:pPr>
        <w:pStyle w:val="Default"/>
        <w:rPr>
          <w:b/>
          <w:bCs/>
          <w:color w:val="006FC0"/>
          <w:sz w:val="23"/>
          <w:szCs w:val="23"/>
        </w:rPr>
      </w:pPr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Diana </w:t>
      </w:r>
      <w:proofErr w:type="spellStart"/>
      <w:r>
        <w:rPr>
          <w:sz w:val="23"/>
          <w:szCs w:val="23"/>
        </w:rPr>
        <w:t>Saldanha</w:t>
      </w:r>
      <w:proofErr w:type="spellEnd"/>
    </w:p>
    <w:p w:rsidR="00C33E7C" w:rsidRDefault="00C33E7C" w:rsidP="00C33E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: </w:t>
      </w:r>
      <w:r w:rsidR="00092750">
        <w:rPr>
          <w:sz w:val="23"/>
          <w:szCs w:val="23"/>
        </w:rPr>
        <w:t>20</w:t>
      </w:r>
      <w:bookmarkStart w:id="0" w:name="_GoBack"/>
      <w:bookmarkEnd w:id="0"/>
      <w:r>
        <w:rPr>
          <w:sz w:val="23"/>
          <w:szCs w:val="23"/>
        </w:rPr>
        <w:t xml:space="preserve">/05/2025 </w:t>
      </w:r>
    </w:p>
    <w:p w:rsidR="00C33E7C" w:rsidRPr="00FA000D" w:rsidRDefault="00C33E7C" w:rsidP="00C33E7C">
      <w:pPr>
        <w:pStyle w:val="Default"/>
        <w:rPr>
          <w:b/>
          <w:bCs/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>Name &amp; Signature of Coordinator with date.</w:t>
      </w:r>
    </w:p>
    <w:sectPr w:rsidR="00C33E7C" w:rsidRPr="00FA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3CB4"/>
    <w:multiLevelType w:val="hybridMultilevel"/>
    <w:tmpl w:val="1556E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1BF1"/>
    <w:multiLevelType w:val="multilevel"/>
    <w:tmpl w:val="4F1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5"/>
    <w:rsid w:val="00091394"/>
    <w:rsid w:val="00092750"/>
    <w:rsid w:val="002E7FE4"/>
    <w:rsid w:val="00723780"/>
    <w:rsid w:val="0076624A"/>
    <w:rsid w:val="008660C5"/>
    <w:rsid w:val="00B10695"/>
    <w:rsid w:val="00C33E7C"/>
    <w:rsid w:val="00C876CF"/>
    <w:rsid w:val="00D921AA"/>
    <w:rsid w:val="00DD3736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32CE"/>
  <w15:chartTrackingRefBased/>
  <w15:docId w15:val="{E9507AEE-1B79-4B5C-B32F-0281984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ASHWIN CORREA</dc:creator>
  <cp:keywords/>
  <dc:description/>
  <cp:lastModifiedBy>JOE ASHWIN CORREA</cp:lastModifiedBy>
  <cp:revision>8</cp:revision>
  <dcterms:created xsi:type="dcterms:W3CDTF">2024-05-20T05:32:00Z</dcterms:created>
  <dcterms:modified xsi:type="dcterms:W3CDTF">2024-05-20T06:24:00Z</dcterms:modified>
</cp:coreProperties>
</file>