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CB1EC" w14:textId="48E07D91" w:rsidR="00A63912" w:rsidRPr="000D1A0A" w:rsidRDefault="0049153F" w:rsidP="00A63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Poornaprajna Institute of Management</w:t>
      </w:r>
    </w:p>
    <w:p w14:paraId="62327EE1" w14:textId="4A7F1405" w:rsidR="00A63912" w:rsidRPr="000D1A0A" w:rsidRDefault="0049153F" w:rsidP="00A63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Udupi </w:t>
      </w:r>
      <w:r w:rsidR="00A63912" w:rsidRPr="000D1A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‐ India</w:t>
      </w:r>
    </w:p>
    <w:p w14:paraId="673DDB0F" w14:textId="76DBD8B7" w:rsidR="00A63912" w:rsidRDefault="00A63912" w:rsidP="00A63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en-IN"/>
        </w:rPr>
      </w:pPr>
    </w:p>
    <w:p w14:paraId="6B15E3EE" w14:textId="39DC2B14" w:rsidR="007D5503" w:rsidRPr="00CF7F7C" w:rsidRDefault="007D5503" w:rsidP="00A63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4E6D62E6" wp14:editId="4D151877">
            <wp:extent cx="1392922" cy="1310803"/>
            <wp:effectExtent l="0" t="0" r="0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196" cy="134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E0A8B" w14:textId="0B234F1F" w:rsidR="00A63912" w:rsidRPr="00CF7F7C" w:rsidRDefault="0049153F" w:rsidP="00A639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Micro </w:t>
      </w:r>
      <w:r w:rsidR="00A63912" w:rsidRPr="00CF7F7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Research Centre </w:t>
      </w:r>
      <w:r w:rsidR="00015E73">
        <w:rPr>
          <w:rFonts w:ascii="Times New Roman" w:hAnsi="Times New Roman" w:cs="Times New Roman"/>
          <w:b/>
          <w:bCs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M</w:t>
      </w:r>
      <w:r w:rsidR="00015E73">
        <w:rPr>
          <w:rFonts w:ascii="Times New Roman" w:hAnsi="Times New Roman" w:cs="Times New Roman"/>
          <w:b/>
          <w:bCs/>
          <w:color w:val="FF0000"/>
          <w:sz w:val="28"/>
          <w:szCs w:val="28"/>
        </w:rPr>
        <w:t>RC)</w:t>
      </w:r>
    </w:p>
    <w:p w14:paraId="0EACB573" w14:textId="243015FE" w:rsidR="00A63912" w:rsidRPr="007D5503" w:rsidRDefault="00A63912" w:rsidP="007D55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F7F7C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Name of </w:t>
      </w:r>
      <w:r w:rsidR="0049153F">
        <w:rPr>
          <w:rFonts w:ascii="Times New Roman" w:hAnsi="Times New Roman" w:cs="Times New Roman"/>
          <w:b/>
          <w:bCs/>
          <w:color w:val="0070C0"/>
          <w:sz w:val="28"/>
          <w:szCs w:val="28"/>
        </w:rPr>
        <w:t>M</w:t>
      </w:r>
      <w:r w:rsidRPr="00CF7F7C">
        <w:rPr>
          <w:rFonts w:ascii="Times New Roman" w:hAnsi="Times New Roman" w:cs="Times New Roman"/>
          <w:b/>
          <w:bCs/>
          <w:color w:val="0070C0"/>
          <w:sz w:val="28"/>
          <w:szCs w:val="28"/>
        </w:rPr>
        <w:t>RC</w:t>
      </w:r>
      <w:r w:rsidR="007D5503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: </w:t>
      </w:r>
      <w:r w:rsidRPr="000D1A0A">
        <w:rPr>
          <w:rFonts w:ascii="Times New Roman" w:hAnsi="Times New Roman" w:cs="Times New Roman"/>
          <w:color w:val="0070C0"/>
          <w:sz w:val="24"/>
          <w:szCs w:val="24"/>
        </w:rPr>
        <w:t xml:space="preserve">Centre for </w:t>
      </w:r>
      <w:r w:rsidR="007D5503">
        <w:rPr>
          <w:rFonts w:ascii="Times New Roman" w:hAnsi="Times New Roman" w:cs="Times New Roman"/>
          <w:color w:val="0070C0"/>
          <w:sz w:val="24"/>
          <w:szCs w:val="24"/>
        </w:rPr>
        <w:t xml:space="preserve">Research </w:t>
      </w:r>
      <w:r w:rsidR="00C4396D">
        <w:rPr>
          <w:rFonts w:ascii="Times New Roman" w:hAnsi="Times New Roman" w:cs="Times New Roman"/>
          <w:color w:val="0070C0"/>
          <w:sz w:val="24"/>
          <w:szCs w:val="24"/>
        </w:rPr>
        <w:t xml:space="preserve">on </w:t>
      </w:r>
      <w:r w:rsidR="00AE1119">
        <w:rPr>
          <w:rFonts w:ascii="Times New Roman" w:hAnsi="Times New Roman" w:cs="Times New Roman"/>
          <w:color w:val="0070C0"/>
          <w:sz w:val="24"/>
          <w:szCs w:val="24"/>
        </w:rPr>
        <w:t>Public Issue Objectives</w:t>
      </w:r>
    </w:p>
    <w:p w14:paraId="5A750323" w14:textId="3389610F" w:rsidR="00A63912" w:rsidRPr="000D1A0A" w:rsidRDefault="00A63912" w:rsidP="00A6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B4B82" w14:textId="038C1FB5" w:rsidR="00A63912" w:rsidRPr="000D1A0A" w:rsidRDefault="00B16CB9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A54BA8" w:rsidRPr="0041315C">
        <w:rPr>
          <w:b/>
          <w:noProof/>
          <w:sz w:val="36"/>
          <w:szCs w:val="36"/>
          <w:lang w:eastAsia="en-IN"/>
        </w:rPr>
        <w:drawing>
          <wp:inline distT="0" distB="0" distL="0" distR="0" wp14:anchorId="55343DDD" wp14:editId="58DE7D64">
            <wp:extent cx="1143000" cy="1499152"/>
            <wp:effectExtent l="0" t="0" r="0" b="6350"/>
            <wp:docPr id="6" name="Picture 6" descr="Photo from Dr Naveen Kumar K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 from Dr Naveen Kumar K 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2" cy="150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33431" w14:textId="77777777" w:rsidR="004D0F63" w:rsidRPr="000D1A0A" w:rsidRDefault="004D0F63" w:rsidP="00A639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</w:pPr>
    </w:p>
    <w:p w14:paraId="5BEF7E1F" w14:textId="5CEEC27C" w:rsidR="007D5503" w:rsidRPr="000D1A0A" w:rsidRDefault="007D5503" w:rsidP="00A639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t>Dr. Naveen Kumar K R, Associate Professor</w:t>
      </w:r>
    </w:p>
    <w:p w14:paraId="249B4DF8" w14:textId="057CFC8C" w:rsidR="00A63912" w:rsidRPr="000D1A0A" w:rsidRDefault="0049153F" w:rsidP="00A639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t xml:space="preserve">Poornaprajna Institute of Management </w:t>
      </w:r>
    </w:p>
    <w:p w14:paraId="710CE78F" w14:textId="21944FD3" w:rsidR="00A63912" w:rsidRPr="000D1A0A" w:rsidRDefault="00A63912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1C70DD2" w14:textId="31282DE7" w:rsidR="00A63912" w:rsidRPr="000D1A0A" w:rsidRDefault="00CF7F7C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D1A0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r w:rsidR="00A63912" w:rsidRPr="000D1A0A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Pr="000D1A0A">
        <w:rPr>
          <w:rFonts w:ascii="Times New Roman" w:hAnsi="Times New Roman" w:cs="Times New Roman"/>
          <w:b/>
          <w:bCs/>
          <w:sz w:val="24"/>
          <w:szCs w:val="24"/>
          <w:lang w:val="en-US"/>
        </w:rPr>
        <w:t>ur</w:t>
      </w:r>
      <w:r w:rsidR="00A63912" w:rsidRPr="000D1A0A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Pr="000D1A0A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="00A63912" w:rsidRPr="000D1A0A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0D1A0A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="00603D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603DDD" w:rsidRPr="00603D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To </w:t>
      </w:r>
      <w:r w:rsidR="004B6FB3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3813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nalyse and </w:t>
      </w:r>
      <w:r w:rsidR="004B6FB3"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r w:rsidR="003813E3">
        <w:rPr>
          <w:rFonts w:ascii="Times New Roman" w:hAnsi="Times New Roman" w:cs="Times New Roman"/>
          <w:bCs/>
          <w:sz w:val="24"/>
          <w:szCs w:val="24"/>
          <w:lang w:val="en-US"/>
        </w:rPr>
        <w:t>nderstand the ‘Going Public’</w:t>
      </w:r>
      <w:r w:rsidR="004B6FB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</w:t>
      </w:r>
      <w:r w:rsidR="003813E3">
        <w:rPr>
          <w:rFonts w:ascii="Times New Roman" w:hAnsi="Times New Roman" w:cs="Times New Roman"/>
          <w:bCs/>
          <w:sz w:val="24"/>
          <w:szCs w:val="24"/>
          <w:lang w:val="en-US"/>
        </w:rPr>
        <w:t>ecisions of companies in India</w:t>
      </w:r>
      <w:r w:rsidR="00A63912" w:rsidRPr="000D1A0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4FCCD798" w14:textId="0077B684" w:rsidR="00CF7F7C" w:rsidRPr="00CF7F7C" w:rsidRDefault="00CF7F7C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BA1A6B2" w14:textId="3DA2DE39" w:rsidR="00CF7F7C" w:rsidRDefault="00CF7F7C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F7F7C">
        <w:rPr>
          <w:rFonts w:ascii="Times New Roman" w:hAnsi="Times New Roman" w:cs="Times New Roman"/>
          <w:b/>
          <w:bCs/>
          <w:sz w:val="24"/>
          <w:szCs w:val="24"/>
          <w:lang w:val="en-US"/>
        </w:rPr>
        <w:t>2. Objective</w:t>
      </w:r>
      <w:r w:rsidR="00603DDD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2C3414E3" w14:textId="07C83B61" w:rsidR="00603DDD" w:rsidRDefault="00603DDD" w:rsidP="00603DDD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03D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i)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To study </w:t>
      </w:r>
      <w:r w:rsidR="002047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motives behind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companies</w:t>
      </w:r>
      <w:r w:rsidR="0020477C">
        <w:rPr>
          <w:rFonts w:ascii="Times New Roman" w:hAnsi="Times New Roman" w:cs="Times New Roman"/>
          <w:bCs/>
          <w:sz w:val="24"/>
          <w:szCs w:val="24"/>
          <w:lang w:val="en-US"/>
        </w:rPr>
        <w:t>’ decisions to for public i</w:t>
      </w:r>
      <w:r w:rsidR="00C4396D">
        <w:rPr>
          <w:rFonts w:ascii="Times New Roman" w:hAnsi="Times New Roman" w:cs="Times New Roman"/>
          <w:bCs/>
          <w:sz w:val="24"/>
          <w:szCs w:val="24"/>
          <w:lang w:val="en-US"/>
        </w:rPr>
        <w:t>ssues</w:t>
      </w:r>
      <w:r w:rsidR="002047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general</w:t>
      </w:r>
    </w:p>
    <w:p w14:paraId="3E33E5CD" w14:textId="46034037" w:rsidR="00603DDD" w:rsidRDefault="00603DDD" w:rsidP="00603DDD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ii) To </w:t>
      </w:r>
      <w:r w:rsidR="00AE111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analyse the reasons behind </w:t>
      </w:r>
      <w:r w:rsidR="003813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going for public issues </w:t>
      </w:r>
      <w:r w:rsidR="002047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by companies </w:t>
      </w:r>
      <w:r w:rsidR="00294209">
        <w:rPr>
          <w:rFonts w:ascii="Times New Roman" w:hAnsi="Times New Roman" w:cs="Times New Roman"/>
          <w:bCs/>
          <w:sz w:val="24"/>
          <w:szCs w:val="24"/>
          <w:lang w:val="en-US"/>
        </w:rPr>
        <w:t>in India</w:t>
      </w:r>
    </w:p>
    <w:p w14:paraId="587CA146" w14:textId="013D971A" w:rsidR="00CF7F7C" w:rsidRDefault="00603DDD" w:rsidP="00603DDD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iii) To study the </w:t>
      </w:r>
      <w:r w:rsidR="00294209">
        <w:rPr>
          <w:rFonts w:ascii="Times New Roman" w:hAnsi="Times New Roman" w:cs="Times New Roman"/>
          <w:bCs/>
          <w:sz w:val="24"/>
          <w:szCs w:val="24"/>
          <w:lang w:val="en-US"/>
        </w:rPr>
        <w:t>concept of ‘</w:t>
      </w:r>
      <w:r w:rsidR="00AE1119">
        <w:rPr>
          <w:rFonts w:ascii="Times New Roman" w:hAnsi="Times New Roman" w:cs="Times New Roman"/>
          <w:bCs/>
          <w:sz w:val="24"/>
          <w:szCs w:val="24"/>
          <w:lang w:val="en-US"/>
        </w:rPr>
        <w:t>Offer for Sale</w:t>
      </w:r>
      <w:r w:rsidR="00294209">
        <w:rPr>
          <w:rFonts w:ascii="Times New Roman" w:hAnsi="Times New Roman" w:cs="Times New Roman"/>
          <w:bCs/>
          <w:sz w:val="24"/>
          <w:szCs w:val="24"/>
          <w:lang w:val="en-US"/>
        </w:rPr>
        <w:t>’</w:t>
      </w:r>
      <w:r w:rsidR="00AE111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94209">
        <w:rPr>
          <w:rFonts w:ascii="Times New Roman" w:hAnsi="Times New Roman" w:cs="Times New Roman"/>
          <w:bCs/>
          <w:sz w:val="24"/>
          <w:szCs w:val="24"/>
          <w:lang w:val="en-US"/>
        </w:rPr>
        <w:t>in public issues</w:t>
      </w:r>
    </w:p>
    <w:p w14:paraId="40E160A3" w14:textId="21B3D06A" w:rsidR="007B7E5C" w:rsidRDefault="007B7E5C" w:rsidP="00603DDD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iv) To study the </w:t>
      </w:r>
      <w:r w:rsidR="00294209">
        <w:rPr>
          <w:rFonts w:ascii="Times New Roman" w:hAnsi="Times New Roman" w:cs="Times New Roman"/>
          <w:bCs/>
          <w:sz w:val="24"/>
          <w:szCs w:val="24"/>
          <w:lang w:val="en-US"/>
        </w:rPr>
        <w:t>concept of ‘Fresh Issues’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94209">
        <w:rPr>
          <w:rFonts w:ascii="Times New Roman" w:hAnsi="Times New Roman" w:cs="Times New Roman"/>
          <w:bCs/>
          <w:sz w:val="24"/>
          <w:szCs w:val="24"/>
          <w:lang w:val="en-US"/>
        </w:rPr>
        <w:t>in public issues</w:t>
      </w:r>
    </w:p>
    <w:p w14:paraId="083B49D3" w14:textId="658BD687" w:rsidR="00CF7F7C" w:rsidRPr="00CF7F7C" w:rsidRDefault="00CF7F7C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0B1DFB2" w14:textId="037AF010" w:rsidR="00CF7F7C" w:rsidRPr="0095701A" w:rsidRDefault="00CF7F7C" w:rsidP="009570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F7F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="00603DDD">
        <w:rPr>
          <w:rFonts w:ascii="Times New Roman" w:hAnsi="Times New Roman" w:cs="Times New Roman"/>
          <w:b/>
          <w:bCs/>
          <w:sz w:val="24"/>
          <w:szCs w:val="24"/>
          <w:lang w:val="en-US"/>
        </w:rPr>
        <w:t>escription on Proposed Research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294209">
        <w:rPr>
          <w:rFonts w:ascii="Times New Roman" w:hAnsi="Times New Roman" w:cs="Times New Roman"/>
          <w:bCs/>
          <w:sz w:val="24"/>
          <w:szCs w:val="24"/>
          <w:lang w:val="en-US"/>
        </w:rPr>
        <w:t>To d</w:t>
      </w:r>
      <w:r w:rsidR="0095701A" w:rsidRPr="009570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ownload the </w:t>
      </w:r>
      <w:r w:rsidR="0095701A">
        <w:rPr>
          <w:rFonts w:ascii="Times New Roman" w:hAnsi="Times New Roman" w:cs="Times New Roman"/>
          <w:bCs/>
          <w:sz w:val="24"/>
          <w:szCs w:val="24"/>
          <w:lang w:val="en-US"/>
        </w:rPr>
        <w:t>soft cop</w:t>
      </w:r>
      <w:r w:rsidR="0020477C">
        <w:rPr>
          <w:rFonts w:ascii="Times New Roman" w:hAnsi="Times New Roman" w:cs="Times New Roman"/>
          <w:bCs/>
          <w:sz w:val="24"/>
          <w:szCs w:val="24"/>
          <w:lang w:val="en-US"/>
        </w:rPr>
        <w:t>ies</w:t>
      </w:r>
      <w:r w:rsidR="009570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the final offer document</w:t>
      </w:r>
      <w:r w:rsidR="00294209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9570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942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of companies going public </w:t>
      </w:r>
      <w:r w:rsidR="0095701A">
        <w:rPr>
          <w:rFonts w:ascii="Times New Roman" w:hAnsi="Times New Roman" w:cs="Times New Roman"/>
          <w:bCs/>
          <w:sz w:val="24"/>
          <w:szCs w:val="24"/>
          <w:lang w:val="en-US"/>
        </w:rPr>
        <w:t>from the SEBI website.</w:t>
      </w:r>
      <w:r w:rsidR="002942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Analysing the ‘Issue Objectives’ section of the</w:t>
      </w:r>
      <w:r w:rsidR="00F01F21">
        <w:rPr>
          <w:rFonts w:ascii="Times New Roman" w:hAnsi="Times New Roman" w:cs="Times New Roman"/>
          <w:bCs/>
          <w:sz w:val="24"/>
          <w:szCs w:val="24"/>
          <w:lang w:val="en-US"/>
        </w:rPr>
        <w:t>se</w:t>
      </w:r>
      <w:r w:rsidR="002942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final offer document</w:t>
      </w:r>
      <w:r w:rsidR="00F01F21">
        <w:rPr>
          <w:rFonts w:ascii="Times New Roman" w:hAnsi="Times New Roman" w:cs="Times New Roman"/>
          <w:bCs/>
          <w:sz w:val="24"/>
          <w:szCs w:val="24"/>
          <w:lang w:val="en-US"/>
        </w:rPr>
        <w:t>s. A</w:t>
      </w:r>
      <w:r w:rsidR="00294209">
        <w:rPr>
          <w:rFonts w:ascii="Times New Roman" w:hAnsi="Times New Roman" w:cs="Times New Roman"/>
          <w:bCs/>
          <w:sz w:val="24"/>
          <w:szCs w:val="24"/>
          <w:lang w:val="en-US"/>
        </w:rPr>
        <w:t>lso</w:t>
      </w:r>
      <w:r w:rsidR="00F01F21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2942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accessing </w:t>
      </w:r>
      <w:r w:rsidR="00F01F2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and analysing the contents from other related websites to get further insights on the </w:t>
      </w:r>
      <w:r w:rsidR="00294209">
        <w:rPr>
          <w:rFonts w:ascii="Times New Roman" w:hAnsi="Times New Roman" w:cs="Times New Roman"/>
          <w:bCs/>
          <w:sz w:val="24"/>
          <w:szCs w:val="24"/>
          <w:lang w:val="en-US"/>
        </w:rPr>
        <w:t>going public decisions of companies</w:t>
      </w:r>
      <w:r w:rsidR="002047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India</w:t>
      </w:r>
      <w:r w:rsidR="002942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5852CE46" w14:textId="7BC03C2D" w:rsidR="00CF7F7C" w:rsidRDefault="00CF7F7C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8D18801" w14:textId="709AB635" w:rsidR="00CF7F7C" w:rsidRDefault="000F6427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4. Expected Outcome:</w:t>
      </w:r>
    </w:p>
    <w:p w14:paraId="65AA77C9" w14:textId="2C40495D" w:rsidR="00D236A5" w:rsidRDefault="000F6427" w:rsidP="00A639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0F6427">
        <w:rPr>
          <w:rFonts w:ascii="Times New Roman" w:hAnsi="Times New Roman" w:cs="Times New Roman"/>
          <w:bCs/>
          <w:sz w:val="24"/>
          <w:szCs w:val="24"/>
          <w:lang w:val="en-US"/>
        </w:rPr>
        <w:t>i)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236A5">
        <w:rPr>
          <w:rFonts w:ascii="Times New Roman" w:hAnsi="Times New Roman" w:cs="Times New Roman"/>
          <w:bCs/>
          <w:sz w:val="24"/>
          <w:szCs w:val="24"/>
          <w:lang w:val="en-US"/>
        </w:rPr>
        <w:t>Understanding the r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easons </w:t>
      </w:r>
      <w:r w:rsidR="00D236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behind </w:t>
      </w:r>
      <w:r w:rsidR="005E22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going public decisions of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companies </w:t>
      </w:r>
      <w:r w:rsidR="005E22BB">
        <w:rPr>
          <w:rFonts w:ascii="Times New Roman" w:hAnsi="Times New Roman" w:cs="Times New Roman"/>
          <w:bCs/>
          <w:sz w:val="24"/>
          <w:szCs w:val="24"/>
          <w:lang w:val="en-US"/>
        </w:rPr>
        <w:t>in India</w:t>
      </w:r>
    </w:p>
    <w:p w14:paraId="6AC66528" w14:textId="4B4BA8A7" w:rsidR="000F6427" w:rsidRDefault="00B16CB9" w:rsidP="000F6427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ii) </w:t>
      </w:r>
      <w:r w:rsidR="005E22BB">
        <w:rPr>
          <w:rFonts w:ascii="Times New Roman" w:hAnsi="Times New Roman" w:cs="Times New Roman"/>
          <w:bCs/>
          <w:sz w:val="24"/>
          <w:szCs w:val="24"/>
          <w:lang w:val="en-US"/>
        </w:rPr>
        <w:t>Understanding the ‘Offer for Sale’ decision by companies in public issues</w:t>
      </w:r>
    </w:p>
    <w:p w14:paraId="7BBD2D10" w14:textId="0B5B9084" w:rsidR="000F6427" w:rsidRDefault="000F6427" w:rsidP="00A639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iii) </w:t>
      </w:r>
      <w:r w:rsidR="005E22BB">
        <w:rPr>
          <w:rFonts w:ascii="Times New Roman" w:hAnsi="Times New Roman" w:cs="Times New Roman"/>
          <w:bCs/>
          <w:sz w:val="24"/>
          <w:szCs w:val="24"/>
          <w:lang w:val="en-US"/>
        </w:rPr>
        <w:t>Understanding the ‘Fresh Issue’ decision by companies in public issues</w:t>
      </w:r>
    </w:p>
    <w:p w14:paraId="01B3B2A3" w14:textId="337EEA3A" w:rsidR="00CF7F7C" w:rsidRDefault="005E22BB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14:paraId="533A6E12" w14:textId="3EA95D4B" w:rsidR="00CF7F7C" w:rsidRDefault="00B16CB9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5. List of the Team Members</w:t>
      </w:r>
      <w:r w:rsidR="00CF7F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14:paraId="730B654B" w14:textId="46741D02" w:rsidR="00CF7F7C" w:rsidRPr="00B16CB9" w:rsidRDefault="00B16CB9" w:rsidP="00A639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B16CB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i)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Dr. Naveen Kumar K R</w:t>
      </w:r>
    </w:p>
    <w:p w14:paraId="2113AAD7" w14:textId="0A8DCD48" w:rsidR="00CF7F7C" w:rsidRDefault="00CF7F7C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D08E818" w14:textId="6B68EE8F" w:rsidR="00CF7F7C" w:rsidRDefault="00B16CB9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6. List of Working Papers</w:t>
      </w:r>
      <w:r w:rsidR="00CF7F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14:paraId="3BD7979E" w14:textId="10EF0777" w:rsidR="00CF7F7C" w:rsidRDefault="00CF7F7C" w:rsidP="00A639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(1) </w:t>
      </w:r>
      <w:r w:rsidR="00B16CB9" w:rsidRPr="00B16CB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</w:t>
      </w:r>
      <w:r w:rsidR="00B16CB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Study on </w:t>
      </w:r>
      <w:r w:rsidR="005E22BB">
        <w:rPr>
          <w:rFonts w:ascii="Times New Roman" w:hAnsi="Times New Roman" w:cs="Times New Roman"/>
          <w:bCs/>
          <w:sz w:val="24"/>
          <w:szCs w:val="24"/>
          <w:lang w:val="en-US"/>
        </w:rPr>
        <w:t>‘Going Public’ Decision of Companies in India</w:t>
      </w:r>
    </w:p>
    <w:p w14:paraId="3CFE1C66" w14:textId="77777777" w:rsidR="005E22BB" w:rsidRDefault="005E22BB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0BB8BA3" w14:textId="25CA230D" w:rsidR="00CF7F7C" w:rsidRDefault="00CF7F7C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7. List of related Published Papers in Journals, Proceedings, Book Chapters, Magazines by </w:t>
      </w:r>
      <w:r w:rsidR="00E447E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Coordinator &amp;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his</w:t>
      </w:r>
      <w:r w:rsidR="00E447EF">
        <w:rPr>
          <w:rFonts w:ascii="Times New Roman" w:hAnsi="Times New Roman" w:cs="Times New Roman"/>
          <w:b/>
          <w:bCs/>
          <w:sz w:val="24"/>
          <w:szCs w:val="24"/>
          <w:lang w:val="en-US"/>
        </w:rPr>
        <w:t>/her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Group</w:t>
      </w:r>
      <w:r w:rsidR="003579B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="003579B0">
        <w:rPr>
          <w:rFonts w:ascii="Times New Roman" w:hAnsi="Times New Roman" w:cs="Times New Roman"/>
          <w:b/>
          <w:bCs/>
          <w:sz w:val="24"/>
          <w:szCs w:val="24"/>
          <w:lang w:val="en-US"/>
        </w:rPr>
        <w:t>members</w:t>
      </w:r>
      <w:proofErr w:type="gramEnd"/>
      <w:r w:rsidR="00E447E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579B0">
        <w:rPr>
          <w:rFonts w:ascii="Times New Roman" w:hAnsi="Times New Roman" w:cs="Times New Roman"/>
          <w:b/>
          <w:bCs/>
          <w:sz w:val="24"/>
          <w:szCs w:val="24"/>
          <w:lang w:val="en-US"/>
        </w:rPr>
        <w:t>year-wise</w:t>
      </w:r>
      <w:r w:rsidR="00E447E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 APA format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</w:p>
    <w:p w14:paraId="69FCD79B" w14:textId="6728D318" w:rsidR="00A54BA8" w:rsidRPr="00B71E77" w:rsidRDefault="00A54BA8" w:rsidP="00A54BA8">
      <w:pPr>
        <w:numPr>
          <w:ilvl w:val="0"/>
          <w:numId w:val="3"/>
        </w:numPr>
        <w:tabs>
          <w:tab w:val="left" w:pos="885"/>
          <w:tab w:val="left" w:pos="1260"/>
        </w:tabs>
        <w:spacing w:line="360" w:lineRule="auto"/>
        <w:ind w:right="27"/>
        <w:jc w:val="both"/>
        <w:rPr>
          <w:b/>
          <w:sz w:val="24"/>
          <w:szCs w:val="24"/>
        </w:rPr>
      </w:pPr>
      <w:r w:rsidRPr="00B71E77">
        <w:rPr>
          <w:sz w:val="24"/>
          <w:szCs w:val="24"/>
        </w:rPr>
        <w:lastRenderedPageBreak/>
        <w:t>Hawaldar, I. T.,</w:t>
      </w:r>
      <w:r>
        <w:rPr>
          <w:b/>
          <w:sz w:val="24"/>
          <w:szCs w:val="24"/>
        </w:rPr>
        <w:t xml:space="preserve"> Kumar K. R. N., </w:t>
      </w:r>
      <w:r w:rsidRPr="00B71E77">
        <w:rPr>
          <w:sz w:val="24"/>
          <w:szCs w:val="24"/>
        </w:rPr>
        <w:t>&amp; Mallikarjunappa, T.</w:t>
      </w:r>
      <w:r>
        <w:rPr>
          <w:b/>
          <w:sz w:val="24"/>
          <w:szCs w:val="24"/>
        </w:rPr>
        <w:t xml:space="preserve"> (2021), Pricing and Performance of Indian IPOs in the Free-Pricing Era: An Empirical Study, Journal of Legal, Ethical and Regulatory Issues, 24(6), 1-15</w:t>
      </w:r>
    </w:p>
    <w:p w14:paraId="2E9FFA3A" w14:textId="77777777" w:rsidR="00A54BA8" w:rsidRDefault="00A54BA8" w:rsidP="00A54BA8">
      <w:pPr>
        <w:numPr>
          <w:ilvl w:val="0"/>
          <w:numId w:val="3"/>
        </w:numPr>
        <w:tabs>
          <w:tab w:val="left" w:pos="885"/>
          <w:tab w:val="left" w:pos="1260"/>
        </w:tabs>
        <w:spacing w:line="360" w:lineRule="auto"/>
        <w:ind w:right="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Kumar, K. R. N., </w:t>
      </w:r>
      <w:r w:rsidRPr="00B71E77">
        <w:rPr>
          <w:sz w:val="24"/>
          <w:szCs w:val="24"/>
        </w:rPr>
        <w:t>Hawaldar, I. T., &amp; Mallikarjunappa, T.</w:t>
      </w:r>
      <w:r>
        <w:rPr>
          <w:b/>
          <w:sz w:val="24"/>
          <w:szCs w:val="24"/>
        </w:rPr>
        <w:t xml:space="preserve"> (2018), </w:t>
      </w:r>
      <w:r w:rsidRPr="00B71E77">
        <w:rPr>
          <w:b/>
          <w:sz w:val="24"/>
          <w:szCs w:val="24"/>
        </w:rPr>
        <w:t>Windows of Opportunity and Seasoned Equity Offerings: An Empirical Study</w:t>
      </w:r>
      <w:r>
        <w:rPr>
          <w:b/>
          <w:sz w:val="24"/>
          <w:szCs w:val="24"/>
        </w:rPr>
        <w:t>, Cogent Economics &amp; Finance, 6(1), 1-18</w:t>
      </w:r>
    </w:p>
    <w:p w14:paraId="655DCDAE" w14:textId="77777777" w:rsidR="00A54BA8" w:rsidRDefault="00A54BA8" w:rsidP="00A54BA8">
      <w:pPr>
        <w:numPr>
          <w:ilvl w:val="0"/>
          <w:numId w:val="3"/>
        </w:numPr>
        <w:tabs>
          <w:tab w:val="left" w:pos="885"/>
          <w:tab w:val="left" w:pos="1260"/>
        </w:tabs>
        <w:spacing w:line="360" w:lineRule="auto"/>
        <w:ind w:right="27"/>
        <w:jc w:val="both"/>
        <w:rPr>
          <w:b/>
          <w:sz w:val="24"/>
          <w:szCs w:val="24"/>
        </w:rPr>
      </w:pPr>
      <w:r w:rsidRPr="00B71E77">
        <w:rPr>
          <w:sz w:val="24"/>
          <w:szCs w:val="24"/>
        </w:rPr>
        <w:t>Hawaldar, I. T.,</w:t>
      </w:r>
      <w:r>
        <w:rPr>
          <w:b/>
          <w:sz w:val="24"/>
          <w:szCs w:val="24"/>
        </w:rPr>
        <w:t xml:space="preserve"> Kumar, K. R. N., </w:t>
      </w:r>
      <w:r w:rsidRPr="00B71E77">
        <w:rPr>
          <w:sz w:val="24"/>
          <w:szCs w:val="24"/>
        </w:rPr>
        <w:t>&amp; Mallikarjunappa, T.</w:t>
      </w:r>
      <w:r>
        <w:rPr>
          <w:b/>
          <w:sz w:val="24"/>
          <w:szCs w:val="24"/>
        </w:rPr>
        <w:t xml:space="preserve"> (2018), </w:t>
      </w:r>
      <w:r w:rsidRPr="00B71E77">
        <w:rPr>
          <w:b/>
          <w:sz w:val="24"/>
          <w:szCs w:val="24"/>
        </w:rPr>
        <w:t>Pricing and Performance of IPOs: Evidence from Indian Stock Market</w:t>
      </w:r>
      <w:r>
        <w:rPr>
          <w:b/>
          <w:sz w:val="24"/>
          <w:szCs w:val="24"/>
        </w:rPr>
        <w:t>, Cogent Economics &amp; Finance, 6(1), 1-20</w:t>
      </w:r>
    </w:p>
    <w:p w14:paraId="62E3344E" w14:textId="77777777" w:rsidR="00E14073" w:rsidRDefault="00E14073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C48186C" w14:textId="415A7D50" w:rsidR="00CF7F7C" w:rsidRDefault="00E14073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Dr. Naveen Kumar K 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  18-05-2024</w:t>
      </w:r>
    </w:p>
    <w:sectPr w:rsidR="00CF7F7C" w:rsidSect="000D1A0A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676AF"/>
    <w:multiLevelType w:val="hybridMultilevel"/>
    <w:tmpl w:val="5C18A1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61AB7"/>
    <w:multiLevelType w:val="hybridMultilevel"/>
    <w:tmpl w:val="13260FE2"/>
    <w:lvl w:ilvl="0" w:tplc="0A62A2B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5C020923"/>
    <w:multiLevelType w:val="hybridMultilevel"/>
    <w:tmpl w:val="74E056A2"/>
    <w:lvl w:ilvl="0" w:tplc="E16A6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2E9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BA4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94D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62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246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41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C83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E1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12"/>
    <w:rsid w:val="00015E73"/>
    <w:rsid w:val="000D1A0A"/>
    <w:rsid w:val="000F6427"/>
    <w:rsid w:val="0020477C"/>
    <w:rsid w:val="00294209"/>
    <w:rsid w:val="002B533A"/>
    <w:rsid w:val="003579B0"/>
    <w:rsid w:val="003813E3"/>
    <w:rsid w:val="004700D0"/>
    <w:rsid w:val="0049153F"/>
    <w:rsid w:val="004B6FB3"/>
    <w:rsid w:val="004D0F63"/>
    <w:rsid w:val="005705BA"/>
    <w:rsid w:val="005E22BB"/>
    <w:rsid w:val="00603DDD"/>
    <w:rsid w:val="006C034C"/>
    <w:rsid w:val="007B7E5C"/>
    <w:rsid w:val="007D5503"/>
    <w:rsid w:val="008100A1"/>
    <w:rsid w:val="008D3C30"/>
    <w:rsid w:val="0095701A"/>
    <w:rsid w:val="00A54BA8"/>
    <w:rsid w:val="00A63912"/>
    <w:rsid w:val="00AD6928"/>
    <w:rsid w:val="00AE1119"/>
    <w:rsid w:val="00B16CB9"/>
    <w:rsid w:val="00B21195"/>
    <w:rsid w:val="00C4396D"/>
    <w:rsid w:val="00CF7F7C"/>
    <w:rsid w:val="00D236A5"/>
    <w:rsid w:val="00D3338D"/>
    <w:rsid w:val="00D502F7"/>
    <w:rsid w:val="00E14073"/>
    <w:rsid w:val="00E447EF"/>
    <w:rsid w:val="00E85C1E"/>
    <w:rsid w:val="00F01F21"/>
    <w:rsid w:val="00F8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438F5"/>
  <w15:chartTrackingRefBased/>
  <w15:docId w15:val="{46FE108B-5B5C-46BA-8126-25BFA5AF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F7C"/>
    <w:pPr>
      <w:ind w:left="720"/>
      <w:contextualSpacing/>
    </w:pPr>
  </w:style>
  <w:style w:type="table" w:styleId="TableGrid">
    <w:name w:val="Table Grid"/>
    <w:basedOn w:val="TableNormal"/>
    <w:rsid w:val="00A54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3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P.S. Aithal</dc:creator>
  <cp:keywords/>
  <dc:description/>
  <cp:lastModifiedBy>Naveen</cp:lastModifiedBy>
  <cp:revision>2</cp:revision>
  <dcterms:created xsi:type="dcterms:W3CDTF">2024-05-18T05:32:00Z</dcterms:created>
  <dcterms:modified xsi:type="dcterms:W3CDTF">2024-05-18T05:32:00Z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ae34b08b574a9e0bfc12dd5047beb09b1676cfb2fc6cbd92af7fa816a4742747</vt:lpwstr>
  </property>
</Properties>
</file>